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6A9DA0BE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35254">
        <w:rPr>
          <w:rFonts w:asciiTheme="majorHAnsi" w:hAnsiTheme="majorHAnsi" w:cstheme="majorHAnsi"/>
          <w:bCs/>
          <w:sz w:val="20"/>
          <w:szCs w:val="20"/>
        </w:rPr>
        <w:t>14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16C96B42" w14:textId="77777777" w:rsidR="00435254" w:rsidRPr="00435254" w:rsidRDefault="004D1E5F" w:rsidP="00435254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435254" w:rsidRPr="00435254">
              <w:rPr>
                <w:rFonts w:ascii="Cambria" w:hAnsi="Cambria"/>
                <w:b/>
                <w:bCs/>
                <w:lang w:bidi="pl-PL"/>
              </w:rPr>
              <w:t xml:space="preserve">Przebudowa budynku wielofunkcyjnego </w:t>
            </w:r>
          </w:p>
          <w:p w14:paraId="55498F8D" w14:textId="48248B48" w:rsidR="00A81A69" w:rsidRDefault="00435254" w:rsidP="00435254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435254">
              <w:rPr>
                <w:rFonts w:ascii="Cambria" w:hAnsi="Cambria"/>
                <w:b/>
                <w:bCs/>
                <w:lang w:bidi="pl-PL"/>
              </w:rPr>
              <w:t>w zakresie dostosowania do obowiązujących przepisów przeciwpożarowych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A63A6F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A63A6F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A63A6F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1C0C8888" w:rsidR="00A81A69" w:rsidRPr="001D27AA" w:rsidRDefault="00A63A6F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1)</w:t>
      </w:r>
    </w:p>
    <w:p w14:paraId="25D3D7DB" w14:textId="77777777" w:rsidR="00A81A69" w:rsidRPr="00014CE2" w:rsidRDefault="00A81A69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2132086" w14:textId="22466363" w:rsidR="00A81A69" w:rsidRDefault="00A63A6F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A6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2)</w:t>
      </w:r>
    </w:p>
    <w:p w14:paraId="25DAF851" w14:textId="77777777" w:rsidR="00014CE2" w:rsidRPr="00014CE2" w:rsidRDefault="00014CE2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A63A6F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C1B94F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4275D2D" w14:textId="77777777" w:rsidR="00014CE2" w:rsidRPr="001D27AA" w:rsidRDefault="00A63A6F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1)</w:t>
      </w:r>
    </w:p>
    <w:p w14:paraId="652E5F89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3F1402F4" w14:textId="77777777" w:rsidR="00014CE2" w:rsidRDefault="00A63A6F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88282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2)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A63A6F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0E2AE6">
        <w:trPr>
          <w:trHeight w:val="666"/>
        </w:trPr>
        <w:tc>
          <w:tcPr>
            <w:tcW w:w="562" w:type="dxa"/>
            <w:vAlign w:val="center"/>
          </w:tcPr>
          <w:p w14:paraId="0AE51617" w14:textId="2F29F653" w:rsidR="00847AA8" w:rsidRPr="007E5571" w:rsidRDefault="00A63A6F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  <w:vAlign w:val="center"/>
          </w:tcPr>
          <w:p w14:paraId="118D2E19" w14:textId="5CFAA64D" w:rsidR="00847AA8" w:rsidRDefault="00847AA8" w:rsidP="000E2AE6">
            <w:pPr>
              <w:spacing w:line="276" w:lineRule="auto"/>
              <w:rPr>
                <w:rFonts w:ascii="Cambria" w:hAnsi="Cambria" w:cs="Arial"/>
                <w:sz w:val="28"/>
                <w:szCs w:val="28"/>
              </w:rPr>
            </w:pPr>
            <w:r w:rsidRPr="00435254">
              <w:rPr>
                <w:rFonts w:ascii="Cambria" w:hAnsi="Cambria" w:cs="Arial"/>
                <w:b/>
                <w:bCs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A63A6F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435254">
              <w:rPr>
                <w:rFonts w:ascii="Cambria" w:hAnsi="Cambria" w:cs="Arial"/>
                <w:b/>
                <w:bCs/>
              </w:rPr>
              <w:t>polegam</w:t>
            </w:r>
            <w:r w:rsidRPr="00800CEA">
              <w:rPr>
                <w:rFonts w:ascii="Cambria" w:hAnsi="Cambria" w:cs="Arial"/>
              </w:rPr>
              <w:t xml:space="preserve">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F3imL0XqY1BM1cdE+sVUThdYWeVAw2WFqK5plR+9C90UNytB2NXxP+8GLP2wqpxLA07a0xbuRFrJOmy1MyJSA==" w:salt="+1SO2fgLgtfggYF8N2kkj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2AE6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5254"/>
    <w:rsid w:val="00437EF9"/>
    <w:rsid w:val="004719C6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060F0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63A6F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4095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2025-08-27T11:14:00Z</dcterms:created>
  <dcterms:modified xsi:type="dcterms:W3CDTF">2025-08-27T11:14:00Z</dcterms:modified>
</cp:coreProperties>
</file>